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6F" w:rsidRPr="00BE2D10" w:rsidRDefault="005D546F" w:rsidP="005D546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2D10">
        <w:rPr>
          <w:rFonts w:ascii="Times New Roman" w:hAnsi="Times New Roman" w:cs="Times New Roman"/>
          <w:b/>
          <w:sz w:val="28"/>
          <w:szCs w:val="28"/>
          <w:u w:val="single"/>
        </w:rPr>
        <w:t>Політична думка доби Середньовіччя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Найбільш видатними соціально-політичними мислителями середньовіччя були </w:t>
      </w:r>
      <w:proofErr w:type="spellStart"/>
      <w:r w:rsidRPr="00BE2D10">
        <w:rPr>
          <w:sz w:val="28"/>
          <w:szCs w:val="28"/>
        </w:rPr>
        <w:t>Аврелій</w:t>
      </w:r>
      <w:proofErr w:type="spellEnd"/>
      <w:r w:rsidRPr="00BE2D10">
        <w:rPr>
          <w:sz w:val="28"/>
          <w:szCs w:val="28"/>
        </w:rPr>
        <w:t xml:space="preserve"> Августин, пізніше названий «блаженним», та Фома Аквінський.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rStyle w:val="a4"/>
          <w:i/>
          <w:sz w:val="28"/>
          <w:szCs w:val="28"/>
        </w:rPr>
        <w:t xml:space="preserve">Августин </w:t>
      </w:r>
      <w:proofErr w:type="spellStart"/>
      <w:r w:rsidRPr="00BE2D10">
        <w:rPr>
          <w:rStyle w:val="a4"/>
          <w:i/>
          <w:sz w:val="28"/>
          <w:szCs w:val="28"/>
        </w:rPr>
        <w:t>Аврелій</w:t>
      </w:r>
      <w:proofErr w:type="spellEnd"/>
      <w:r w:rsidRPr="00BE2D10">
        <w:rPr>
          <w:rStyle w:val="apple-converted-space"/>
          <w:i/>
          <w:sz w:val="28"/>
          <w:szCs w:val="28"/>
        </w:rPr>
        <w:t> </w:t>
      </w:r>
      <w:r w:rsidRPr="00BE2D10">
        <w:rPr>
          <w:sz w:val="28"/>
          <w:szCs w:val="28"/>
        </w:rPr>
        <w:t xml:space="preserve">(354—430) — один з отців </w:t>
      </w:r>
      <w:proofErr w:type="spellStart"/>
      <w:r w:rsidRPr="00BE2D10">
        <w:rPr>
          <w:sz w:val="28"/>
          <w:szCs w:val="28"/>
        </w:rPr>
        <w:t>західнохристиянської</w:t>
      </w:r>
      <w:proofErr w:type="spellEnd"/>
      <w:r w:rsidRPr="00BE2D10">
        <w:rPr>
          <w:sz w:val="28"/>
          <w:szCs w:val="28"/>
        </w:rPr>
        <w:t xml:space="preserve"> церкви. Про свої духовні пошуки мислитель розповів у творі під назвою «Сповідь».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Основна риса соціально-політичних поглядів Августина — обґрунтування та виправдання нерівності в суспільстві. Багатство одних і бідність інших він пояснював зіпсованістю природи людини в результаті гріхопадіння перших людей. Становище людини в суспільстві, за Августином, запрограмоване на небесах. Звідси — висновок про неправомірність революційних виступів народу проти устрою «гармонійної нерівності».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У своєму вченні Августин намагався дати всесвітньо-історичну картину розвитку людства. Він слідом за старогрецькими стоїками обґрунтовує ідею єдності людського роду, що походить згідно з біблійними оповідями від «прабатьків» — Адама та Єви.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Іншим важливим елементом учення було розуміння історії людства як боротьби «двох </w:t>
      </w:r>
      <w:proofErr w:type="spellStart"/>
      <w:r w:rsidRPr="00BE2D10">
        <w:rPr>
          <w:sz w:val="28"/>
          <w:szCs w:val="28"/>
        </w:rPr>
        <w:t>градів</w:t>
      </w:r>
      <w:proofErr w:type="spellEnd"/>
      <w:r w:rsidRPr="00BE2D10">
        <w:rPr>
          <w:sz w:val="28"/>
          <w:szCs w:val="28"/>
        </w:rPr>
        <w:t>», «двох держав»: «</w:t>
      </w:r>
      <w:proofErr w:type="spellStart"/>
      <w:r w:rsidRPr="00BE2D10">
        <w:rPr>
          <w:sz w:val="28"/>
          <w:szCs w:val="28"/>
        </w:rPr>
        <w:t>града</w:t>
      </w:r>
      <w:proofErr w:type="spellEnd"/>
      <w:r w:rsidRPr="00BE2D10">
        <w:rPr>
          <w:sz w:val="28"/>
          <w:szCs w:val="28"/>
        </w:rPr>
        <w:t xml:space="preserve"> божого», що складається з божих оборонців, та світської держави — «великої розбійницької організації», у котрій прагнуть матеріальних благ та визискують праведних. Кінець-кінцем, уважав Августин, хід історії забезпечить перемогу «божої держави» над світською. Високий авторитет Августина в християнських колах західноєвропейського середньовіччя і був пов’язаний з ідеєю про необхідність підкорення світської влади церкві.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Інший видатний мислитель —</w:t>
      </w:r>
      <w:r w:rsidRPr="00BE2D10">
        <w:rPr>
          <w:rStyle w:val="apple-converted-space"/>
          <w:sz w:val="28"/>
          <w:szCs w:val="28"/>
        </w:rPr>
        <w:t> </w:t>
      </w:r>
      <w:r w:rsidRPr="00BE2D10">
        <w:rPr>
          <w:rStyle w:val="a4"/>
          <w:i/>
          <w:sz w:val="28"/>
          <w:szCs w:val="28"/>
        </w:rPr>
        <w:t>Фома Аквінський</w:t>
      </w:r>
      <w:r w:rsidRPr="00BE2D10">
        <w:rPr>
          <w:rStyle w:val="apple-converted-space"/>
          <w:sz w:val="28"/>
          <w:szCs w:val="28"/>
        </w:rPr>
        <w:t> </w:t>
      </w:r>
      <w:r w:rsidRPr="00BE2D10">
        <w:rPr>
          <w:sz w:val="28"/>
          <w:szCs w:val="28"/>
        </w:rPr>
        <w:t xml:space="preserve">(1225—1274) — жив у період пізнього середньовіччя і був найбільш впливовим богословом у Західній Європі тієї доби. У 1323 році він був </w:t>
      </w:r>
      <w:proofErr w:type="spellStart"/>
      <w:r w:rsidRPr="00BE2D10">
        <w:rPr>
          <w:sz w:val="28"/>
          <w:szCs w:val="28"/>
        </w:rPr>
        <w:t>причислений</w:t>
      </w:r>
      <w:proofErr w:type="spellEnd"/>
      <w:r w:rsidRPr="00BE2D10">
        <w:rPr>
          <w:sz w:val="28"/>
          <w:szCs w:val="28"/>
        </w:rPr>
        <w:t xml:space="preserve"> до лику святих римсько-католицької церкви, а вчення Фоми Аквінського було визнано згодом офіційною ідеологією католицизму.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Погляди Фоми Аквінського на суспільство сформувалися під впливом </w:t>
      </w:r>
      <w:proofErr w:type="spellStart"/>
      <w:r w:rsidRPr="00BE2D10">
        <w:rPr>
          <w:sz w:val="28"/>
          <w:szCs w:val="28"/>
        </w:rPr>
        <w:t>Арістотеля</w:t>
      </w:r>
      <w:proofErr w:type="spellEnd"/>
      <w:r w:rsidRPr="00BE2D10">
        <w:rPr>
          <w:sz w:val="28"/>
          <w:szCs w:val="28"/>
        </w:rPr>
        <w:t>. Як і грецький філософ, Фома говорив про необхідність ставити на перший план інтереси держави. Відповідно до християнської традиції, що склалася, він розглядав соціально-політичні відносини як відображення небесного божественного порядку. Суспільство має складатися з різних верств: більшість людей мусять займатися фізичною працею, а меншість — розумовою, а також керувати суспільством. В інтересах суспільства кожна людина має безвідмовно виконувати свої обов’язки, бо їх установлено богом.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Фома Аквінський жив у епоху, коли католицька церква, яку очолював папа, мала величезну владу. Ураховуючи те, що в цей період розпочався процес створення національних держав, він висловлював думку, що держава є божественним установленням. А найліпшою найприроднішою формою світської влади він уважав монархію.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  <w:r w:rsidRPr="00BE2D10">
        <w:rPr>
          <w:sz w:val="28"/>
          <w:szCs w:val="28"/>
        </w:rPr>
        <w:lastRenderedPageBreak/>
        <w:t>Проте, хоч влада і має божественну природу, Фома Аквінський допускав ситуацію, коли зловживання владою, надмірні утиски дають народу право на опір тирану і навіть на його насильницьке повалення.</w:t>
      </w:r>
    </w:p>
    <w:p w:rsidR="005D546F" w:rsidRPr="00BE2D10" w:rsidRDefault="005D546F" w:rsidP="005D546F">
      <w:pPr>
        <w:pStyle w:val="a3"/>
        <w:shd w:val="clear" w:color="auto" w:fill="FFFFFF"/>
        <w:spacing w:before="0" w:beforeAutospacing="0" w:after="0" w:afterAutospacing="0"/>
        <w:ind w:firstLine="415"/>
        <w:jc w:val="both"/>
        <w:rPr>
          <w:sz w:val="28"/>
          <w:szCs w:val="28"/>
        </w:rPr>
      </w:pPr>
    </w:p>
    <w:p w:rsidR="005D546F" w:rsidRPr="00BE2D10" w:rsidRDefault="005D546F" w:rsidP="005D546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BE2D10">
        <w:rPr>
          <w:rFonts w:ascii="Times New Roman" w:hAnsi="Times New Roman" w:cs="Times New Roman"/>
          <w:b/>
          <w:i/>
          <w:sz w:val="28"/>
          <w:szCs w:val="28"/>
        </w:rPr>
        <w:t>Марсілій</w:t>
      </w:r>
      <w:proofErr w:type="spellEnd"/>
      <w:r w:rsidRPr="00BE2D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E2D10">
        <w:rPr>
          <w:rFonts w:ascii="Times New Roman" w:hAnsi="Times New Roman" w:cs="Times New Roman"/>
          <w:b/>
          <w:i/>
          <w:sz w:val="28"/>
          <w:szCs w:val="28"/>
        </w:rPr>
        <w:t>Падуанський</w:t>
      </w:r>
      <w:proofErr w:type="spellEnd"/>
      <w:r w:rsidRPr="00BE2D10">
        <w:rPr>
          <w:rFonts w:ascii="Times New Roman" w:hAnsi="Times New Roman" w:cs="Times New Roman"/>
          <w:sz w:val="28"/>
          <w:szCs w:val="28"/>
        </w:rPr>
        <w:t xml:space="preserve"> дійшов висновку, що ні церква, ні держава не мають божественної природи, але є різними формами людської влади. При цьому церква повинна бути відокремлена від держави і має підпорядковуватися світській владі.</w:t>
      </w:r>
    </w:p>
    <w:p w:rsidR="005D546F" w:rsidRPr="000A0C80" w:rsidRDefault="005D546F" w:rsidP="005D546F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0A0C8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Аль-Фарабі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один із перших філософів-арабів порушив проблему співвідношення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4" w:tooltip="Релігія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релігії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5" w:tooltip="Філософія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філософії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. Він став відомим завдяки коментарям до праць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fldChar w:fldCharType="begin"/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instrText xml:space="preserve"> HYPERLINK "http://uk.wikipedia.org/wiki/%D0%90%D1%80%D1%96%D1%81%D1%82%D0%BE%D1%82%D0%B5%D0%BB%D1%8C" \o "Арістотель" </w:instrTex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fldChar w:fldCharType="separate"/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Арістотеля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fldChar w:fldCharType="end"/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через що отримав почесне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ім´я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Арістотель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Сходу». Свої державницькі і правові погляди виклав у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6" w:tooltip="Трактат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трактатах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«Про погляди жителів доброчесного міста», «Афоризми державного діяча» тощо. В зазначених працях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Аль-Фарабі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значну увагу приділяв дослідженню сутності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7" w:tooltip="Влад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влади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завданням і метою якої є створення умов для щастя і злагоди.</w:t>
      </w:r>
    </w:p>
    <w:p w:rsidR="005D546F" w:rsidRPr="000A0C80" w:rsidRDefault="005D546F" w:rsidP="005D546F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Як і більшість філософів, він намагався розробити проект ідеального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8" w:tooltip="Суспільство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суспільства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— міста-держави. Він класифікував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9" w:tooltip="Суспільство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суспільства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великі (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об´єднання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всіх людей, народів, що населяють землю), середні (спільнота певного народу) та малі (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об´єднання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людей в окремі міста).</w:t>
      </w:r>
    </w:p>
    <w:p w:rsidR="005D546F" w:rsidRPr="000A0C80" w:rsidRDefault="005D546F" w:rsidP="005D546F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Важливою умовою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досягення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щастя вважав умілу діяльність верховної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0" w:tooltip="Влад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влади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. Саме з цих позицій усі міста-держави він поділяв на доброчесні ( в яких високоморальні правителі та мешканці прагнуть до щастя, в основі якого – знання та блага) та неосвічені (верхівка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1" w:tooltip="Влад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влади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прагне тільки до особистого зиску). Перевагу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2" w:tooltip="Філософ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філософ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віддав першому виду, в якому суспільне життя побудоване на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fldChar w:fldCharType="begin"/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instrText xml:space="preserve"> HYPERLINK "http://uk.wikipedia.org/wiki/%D0%9F%D1%80%D0%B8%D0%BD%D1%86%D0%B8%D0%BF" \o "Принцип" </w:instrTex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fldChar w:fldCharType="separate"/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принципах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fldChar w:fldCharType="end"/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високої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моральності людей та взаємодопомоги.</w:t>
      </w:r>
    </w:p>
    <w:p w:rsidR="005D546F" w:rsidRPr="000A0C80" w:rsidRDefault="005D546F" w:rsidP="005D546F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його проект ідеального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3" w:tooltip="Суспільство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суспільства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(міста-держави) суперечив ідеям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4" w:tooltip="Коран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Корану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божественну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передвизначеність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: «все у владі Бога». Мусульманське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5" w:tooltip="Духовенство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духовенство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сприйняло ідеї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Аль-Фарабі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 посягання на порядок, установлений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6" w:tooltip="Аллах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Аллахом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Аль-Фарабі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взагалі відкидав теологічні вчення про походження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7" w:tooltip="Держав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держави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і стверджував, що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8" w:tooltip="Держав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держава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- результат об'єднання людей для задоволення життєвих потреб.</w:t>
      </w:r>
    </w:p>
    <w:p w:rsidR="005D546F" w:rsidRPr="000A0C80" w:rsidRDefault="005D546F" w:rsidP="005D546F">
      <w:pPr>
        <w:shd w:val="clear" w:color="auto" w:fill="FFFFFF"/>
        <w:spacing w:before="96" w:after="120" w:line="26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Політико-правове вчення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Аль-Фарабі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суттєво відрізняється від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19" w:tooltip="Доктрин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доктрини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західноєвропейських мислителів як за змістом, так і в програмних положеннях. Політичне життя Арабського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20" w:tooltip="Халіфат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халіфату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давало підстав для обговорення традиційних для європейської державно-правової думки проблем різних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21" w:tooltip="Форма державного правління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форм правління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, співвідношення церкви і держави, держави і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22" w:tooltip="Право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права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Що ж до політичного устрою, то за його основу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Аль-Фарабі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брав мусульманську общину —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пов´язане</w:t>
      </w:r>
      <w:proofErr w:type="spellEnd"/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23" w:tooltip="Шаріат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шаріатом</w:t>
        </w:r>
      </w:hyperlink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територіальне </w:t>
      </w:r>
      <w:proofErr w:type="spellStart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об´єднання</w:t>
      </w:r>
      <w:proofErr w:type="spellEnd"/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віруючих, що справляло вагомий вплив на</w:t>
      </w:r>
      <w:r w:rsidRPr="00BE2D1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24" w:tooltip="Влада" w:history="1">
        <w:r w:rsidRPr="00BE2D10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владу</w:t>
        </w:r>
      </w:hyperlink>
      <w:r w:rsidRPr="000A0C8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46F"/>
    <w:rsid w:val="005D546F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5D546F"/>
  </w:style>
  <w:style w:type="character" w:styleId="a4">
    <w:name w:val="Strong"/>
    <w:basedOn w:val="a0"/>
    <w:uiPriority w:val="22"/>
    <w:qFormat/>
    <w:rsid w:val="005D54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A1%D1%83%D1%81%D0%BF%D1%96%D0%BB%D1%8C%D1%81%D1%82%D0%B2%D0%BE" TargetMode="External"/><Relationship Id="rId13" Type="http://schemas.openxmlformats.org/officeDocument/2006/relationships/hyperlink" Target="http://uk.wikipedia.org/wiki/%D0%A1%D1%83%D1%81%D0%BF%D1%96%D0%BB%D1%8C%D1%81%D1%82%D0%B2%D0%BE" TargetMode="External"/><Relationship Id="rId18" Type="http://schemas.openxmlformats.org/officeDocument/2006/relationships/hyperlink" Target="http://uk.wikipedia.org/wiki/%D0%94%D0%B5%D1%80%D0%B6%D0%B0%D0%B2%D0%B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uk.wikipedia.org/wiki/%D0%A4%D0%BE%D1%80%D0%BC%D0%B0_%D0%B4%D0%B5%D1%80%D0%B6%D0%B0%D0%B2%D0%BD%D0%BE%D0%B3%D0%BE_%D0%BF%D1%80%D0%B0%D0%B2%D0%BB%D1%96%D0%BD%D0%BD%D1%8F" TargetMode="External"/><Relationship Id="rId7" Type="http://schemas.openxmlformats.org/officeDocument/2006/relationships/hyperlink" Target="http://uk.wikipedia.org/wiki/%D0%92%D0%BB%D0%B0%D0%B4%D0%B0" TargetMode="External"/><Relationship Id="rId12" Type="http://schemas.openxmlformats.org/officeDocument/2006/relationships/hyperlink" Target="http://uk.wikipedia.org/wiki/%D0%A4%D1%96%D0%BB%D0%BE%D1%81%D0%BE%D1%84" TargetMode="External"/><Relationship Id="rId17" Type="http://schemas.openxmlformats.org/officeDocument/2006/relationships/hyperlink" Target="http://uk.wikipedia.org/wiki/%D0%94%D0%B5%D1%80%D0%B6%D0%B0%D0%B2%D0%B0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uk.wikipedia.org/wiki/%D0%90%D0%BB%D0%BB%D0%B0%D1%85" TargetMode="External"/><Relationship Id="rId20" Type="http://schemas.openxmlformats.org/officeDocument/2006/relationships/hyperlink" Target="http://uk.wikipedia.org/wiki/%D0%A5%D0%B0%D0%BB%D1%96%D1%84%D0%B0%D1%82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A2%D1%80%D0%B0%D0%BA%D1%82%D0%B0%D1%82" TargetMode="External"/><Relationship Id="rId11" Type="http://schemas.openxmlformats.org/officeDocument/2006/relationships/hyperlink" Target="http://uk.wikipedia.org/wiki/%D0%92%D0%BB%D0%B0%D0%B4%D0%B0" TargetMode="External"/><Relationship Id="rId24" Type="http://schemas.openxmlformats.org/officeDocument/2006/relationships/hyperlink" Target="http://uk.wikipedia.org/wiki/%D0%92%D0%BB%D0%B0%D0%B4%D0%B0" TargetMode="External"/><Relationship Id="rId5" Type="http://schemas.openxmlformats.org/officeDocument/2006/relationships/hyperlink" Target="http://uk.wikipedia.org/wiki/%D0%A4%D1%96%D0%BB%D0%BE%D1%81%D0%BE%D1%84%D1%96%D1%8F" TargetMode="External"/><Relationship Id="rId15" Type="http://schemas.openxmlformats.org/officeDocument/2006/relationships/hyperlink" Target="http://uk.wikipedia.org/wiki/%D0%94%D1%83%D1%85%D0%BE%D0%B2%D0%B5%D0%BD%D1%81%D1%82%D0%B2%D0%BE" TargetMode="External"/><Relationship Id="rId23" Type="http://schemas.openxmlformats.org/officeDocument/2006/relationships/hyperlink" Target="http://uk.wikipedia.org/wiki/%D0%A8%D0%B0%D1%80%D1%96%D0%B0%D1%82" TargetMode="External"/><Relationship Id="rId10" Type="http://schemas.openxmlformats.org/officeDocument/2006/relationships/hyperlink" Target="http://uk.wikipedia.org/wiki/%D0%92%D0%BB%D0%B0%D0%B4%D0%B0" TargetMode="External"/><Relationship Id="rId19" Type="http://schemas.openxmlformats.org/officeDocument/2006/relationships/hyperlink" Target="http://uk.wikipedia.org/wiki/%D0%94%D0%BE%D0%BA%D1%82%D1%80%D0%B8%D0%BD%D0%B0" TargetMode="External"/><Relationship Id="rId4" Type="http://schemas.openxmlformats.org/officeDocument/2006/relationships/hyperlink" Target="http://uk.wikipedia.org/wiki/%D0%A0%D0%B5%D0%BB%D1%96%D0%B3%D1%96%D1%8F" TargetMode="External"/><Relationship Id="rId9" Type="http://schemas.openxmlformats.org/officeDocument/2006/relationships/hyperlink" Target="http://uk.wikipedia.org/wiki/%D0%A1%D1%83%D1%81%D0%BF%D1%96%D0%BB%D1%8C%D1%81%D1%82%D0%B2%D0%BE" TargetMode="External"/><Relationship Id="rId14" Type="http://schemas.openxmlformats.org/officeDocument/2006/relationships/hyperlink" Target="http://uk.wikipedia.org/wiki/%D0%9A%D0%BE%D1%80%D0%B0%D0%BD" TargetMode="External"/><Relationship Id="rId22" Type="http://schemas.openxmlformats.org/officeDocument/2006/relationships/hyperlink" Target="http://uk.wikipedia.org/wiki/%D0%9F%D1%80%D0%B0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1143</Words>
  <Characters>6518</Characters>
  <Application>Microsoft Office Word</Application>
  <DocSecurity>0</DocSecurity>
  <Lines>54</Lines>
  <Paragraphs>15</Paragraphs>
  <ScaleCrop>false</ScaleCrop>
  <Company/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2014-06-22T12:20:00Z</dcterms:created>
  <dcterms:modified xsi:type="dcterms:W3CDTF">2014-06-22T12:20:00Z</dcterms:modified>
</cp:coreProperties>
</file>